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spacing w:before="120" w:line="20" w:lineRule="atLeast"/>
        <w:jc w:val="center"/>
        <w:rPr>
          <w:rFonts w:ascii="楷体" w:hAnsi="楷体" w:eastAsia="楷体"/>
          <w:b/>
          <w:sz w:val="84"/>
          <w:szCs w:val="84"/>
        </w:rPr>
      </w:pPr>
      <w:r>
        <w:rPr>
          <w:rFonts w:hint="eastAsia" w:ascii="楷体" w:hAnsi="楷体" w:eastAsia="楷体"/>
          <w:b/>
          <w:sz w:val="84"/>
          <w:szCs w:val="84"/>
        </w:rPr>
        <w:t>管道QV</w:t>
      </w:r>
    </w:p>
    <w:p>
      <w:pPr>
        <w:pStyle w:val="5"/>
        <w:spacing w:before="120" w:line="20" w:lineRule="atLeast"/>
        <w:jc w:val="center"/>
        <w:rPr>
          <w:rFonts w:hint="eastAsia" w:ascii="楷体" w:hAnsi="楷体" w:eastAsia="楷体"/>
          <w:b/>
          <w:sz w:val="84"/>
          <w:szCs w:val="84"/>
        </w:rPr>
      </w:pPr>
      <w:r>
        <w:rPr>
          <w:rFonts w:hint="eastAsia" w:ascii="楷体" w:hAnsi="楷体" w:eastAsia="楷体"/>
          <w:b/>
          <w:sz w:val="84"/>
          <w:szCs w:val="84"/>
        </w:rPr>
        <w:t>检</w:t>
      </w:r>
      <w:r>
        <w:rPr>
          <w:rFonts w:ascii="楷体" w:hAnsi="楷体" w:eastAsia="楷体"/>
          <w:b/>
          <w:sz w:val="84"/>
          <w:szCs w:val="84"/>
        </w:rPr>
        <w:t xml:space="preserve"> </w:t>
      </w:r>
      <w:r>
        <w:rPr>
          <w:rFonts w:hint="eastAsia" w:ascii="楷体" w:hAnsi="楷体" w:eastAsia="楷体"/>
          <w:b/>
          <w:sz w:val="84"/>
          <w:szCs w:val="84"/>
        </w:rPr>
        <w:t>测</w:t>
      </w:r>
      <w:r>
        <w:rPr>
          <w:rFonts w:ascii="楷体" w:hAnsi="楷体" w:eastAsia="楷体"/>
          <w:b/>
          <w:sz w:val="84"/>
          <w:szCs w:val="84"/>
        </w:rPr>
        <w:t xml:space="preserve"> </w:t>
      </w:r>
      <w:r>
        <w:rPr>
          <w:rFonts w:hint="eastAsia" w:ascii="楷体" w:hAnsi="楷体" w:eastAsia="楷体"/>
          <w:b/>
          <w:sz w:val="84"/>
          <w:szCs w:val="84"/>
        </w:rPr>
        <w:t>报</w:t>
      </w:r>
      <w:r>
        <w:rPr>
          <w:rFonts w:ascii="楷体" w:hAnsi="楷体" w:eastAsia="楷体"/>
          <w:b/>
          <w:sz w:val="84"/>
          <w:szCs w:val="84"/>
        </w:rPr>
        <w:t xml:space="preserve"> </w:t>
      </w:r>
      <w:r>
        <w:rPr>
          <w:rFonts w:hint="eastAsia" w:ascii="楷体" w:hAnsi="楷体" w:eastAsia="楷体"/>
          <w:b/>
          <w:sz w:val="84"/>
          <w:szCs w:val="84"/>
        </w:rPr>
        <w:t>告</w:t>
      </w:r>
    </w:p>
    <w:p>
      <w:pPr>
        <w:jc w:val="center"/>
        <w:rPr>
          <w:rFonts w:hint="eastAsia" w:eastAsia="黑体"/>
          <w:b/>
          <w:spacing w:val="600"/>
          <w:sz w:val="28"/>
        </w:rPr>
      </w:pPr>
    </w:p>
    <w:p>
      <w:pPr>
        <w:pStyle w:val="3"/>
        <w:ind w:left="2991" w:leftChars="710" w:hanging="1500" w:hangingChars="500"/>
        <w:rPr>
          <w:rFonts w:hint="eastAsia" w:ascii="黑体" w:hAnsi="Calibri" w:eastAsia="黑体" w:cs="Times New Roman"/>
          <w:sz w:val="30"/>
          <w:szCs w:val="30"/>
          <w:lang w:eastAsia="zh-CN"/>
        </w:rPr>
      </w:pPr>
    </w:p>
    <w:p>
      <w:pPr>
        <w:spacing w:line="760" w:lineRule="exact"/>
        <w:ind w:firstLine="1500" w:firstLineChars="500"/>
        <w:rPr>
          <w:rFonts w:hint="eastAsia" w:ascii="黑体" w:hAnsi="Calibri" w:eastAsia="黑体" w:cs="Times New Roman"/>
          <w:sz w:val="30"/>
          <w:szCs w:val="30"/>
          <w:lang w:eastAsia="zh-CN"/>
        </w:rPr>
      </w:pPr>
    </w:p>
    <w:p>
      <w:pPr>
        <w:spacing w:line="760" w:lineRule="exact"/>
        <w:jc w:val="center"/>
        <w:rPr>
          <w:rFonts w:hint="default" w:ascii="黑体" w:hAnsi="黑体" w:eastAsia="黑体" w:cs="宋体"/>
          <w:sz w:val="30"/>
          <w:szCs w:val="30"/>
          <w:lang w:val="en-US" w:eastAsia="zh-CN"/>
        </w:rPr>
      </w:pPr>
      <w:r>
        <w:rPr>
          <w:rFonts w:hint="eastAsia" w:ascii="黑体" w:hAnsi="黑体" w:eastAsia="黑体" w:cs="宋体"/>
          <w:sz w:val="30"/>
          <w:szCs w:val="30"/>
          <w:lang w:val="en-US" w:eastAsia="zh-CN"/>
        </w:rPr>
        <w:t>知识城中、北安置区排污排水管线勘察项目(凤山花园</w:t>
      </w:r>
      <w:bookmarkStart w:id="0" w:name="_GoBack"/>
      <w:bookmarkEnd w:id="0"/>
      <w:r>
        <w:rPr>
          <w:rFonts w:hint="eastAsia" w:ascii="黑体" w:hAnsi="黑体" w:eastAsia="黑体" w:cs="宋体"/>
          <w:sz w:val="30"/>
          <w:szCs w:val="30"/>
          <w:lang w:val="en-US" w:eastAsia="zh-CN"/>
        </w:rPr>
        <w:t>)</w:t>
      </w:r>
    </w:p>
    <w:p>
      <w:pPr>
        <w:spacing w:line="760" w:lineRule="exact"/>
        <w:jc w:val="center"/>
        <w:rPr>
          <w:rFonts w:ascii="黑体" w:eastAsia="黑体"/>
          <w:sz w:val="30"/>
          <w:szCs w:val="30"/>
        </w:rPr>
      </w:pPr>
      <w:r>
        <w:rPr>
          <w:rFonts w:hint="eastAsia" w:ascii="黑体" w:hAnsi="Calibri" w:eastAsia="黑体" w:cs="Times New Roman"/>
          <w:sz w:val="30"/>
          <w:szCs w:val="30"/>
          <w:lang w:val="en-US" w:eastAsia="zh-CN"/>
        </w:rPr>
        <w:t>QV检测</w:t>
      </w:r>
      <w:r>
        <w:rPr>
          <w:rFonts w:hint="eastAsia" w:ascii="黑体" w:eastAsia="黑体" w:cs="Times New Roman"/>
          <w:sz w:val="30"/>
          <w:szCs w:val="30"/>
          <w:lang w:val="en-US" w:eastAsia="zh-CN"/>
        </w:rPr>
        <w:t>缺陷汇总</w:t>
      </w:r>
    </w:p>
    <w:p>
      <w:pPr>
        <w:spacing w:line="600" w:lineRule="exact"/>
        <w:ind w:firstLine="576" w:firstLineChars="192"/>
        <w:rPr>
          <w:rFonts w:ascii="黑体" w:eastAsia="黑体"/>
          <w:sz w:val="30"/>
          <w:szCs w:val="30"/>
        </w:rPr>
      </w:pPr>
    </w:p>
    <w:p>
      <w:pPr>
        <w:spacing w:line="600" w:lineRule="exact"/>
        <w:ind w:firstLine="576" w:firstLineChars="192"/>
        <w:rPr>
          <w:rFonts w:ascii="黑体" w:eastAsia="黑体"/>
          <w:sz w:val="30"/>
          <w:szCs w:val="30"/>
        </w:rPr>
      </w:pPr>
    </w:p>
    <w:p>
      <w:pPr>
        <w:spacing w:line="600" w:lineRule="exact"/>
        <w:ind w:firstLine="576" w:firstLineChars="192"/>
        <w:rPr>
          <w:rFonts w:ascii="黑体" w:eastAsia="黑体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both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  <w:r>
        <w:rPr>
          <w:rFonts w:hint="eastAsia" w:ascii="楷体" w:hAnsi="楷体" w:eastAsia="楷体"/>
          <w:b/>
          <w:color w:val="000000"/>
          <w:sz w:val="30"/>
          <w:szCs w:val="30"/>
        </w:rPr>
        <w:t>广东精测勘测科技股份有限公司</w:t>
      </w: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  <w:r>
        <w:rPr>
          <w:rFonts w:hint="eastAsia" w:ascii="楷体" w:hAnsi="楷体" w:eastAsia="楷体"/>
          <w:b/>
          <w:color w:val="000000"/>
          <w:sz w:val="30"/>
          <w:szCs w:val="30"/>
        </w:rPr>
        <w:t>二零二</w:t>
      </w:r>
      <w:r>
        <w:rPr>
          <w:rFonts w:hint="eastAsia" w:ascii="楷体" w:hAnsi="楷体" w:eastAsia="楷体"/>
          <w:b/>
          <w:color w:val="000000"/>
          <w:sz w:val="30"/>
          <w:szCs w:val="30"/>
          <w:lang w:eastAsia="zh-CN"/>
        </w:rPr>
        <w:t>一年十</w:t>
      </w:r>
      <w:r>
        <w:rPr>
          <w:rFonts w:hint="eastAsia" w:ascii="楷体" w:hAnsi="楷体" w:eastAsia="楷体"/>
          <w:b/>
          <w:color w:val="000000"/>
          <w:sz w:val="30"/>
          <w:szCs w:val="30"/>
        </w:rPr>
        <w:t>月</w:t>
      </w:r>
      <w:r>
        <w:rPr>
          <w:rFonts w:hint="eastAsia" w:ascii="楷体" w:hAnsi="楷体" w:eastAsia="楷体"/>
          <w:b/>
          <w:color w:val="000000"/>
          <w:sz w:val="30"/>
          <w:szCs w:val="30"/>
          <w:lang w:eastAsia="zh-CN"/>
        </w:rPr>
        <w:t>二十</w:t>
      </w:r>
      <w:r>
        <w:rPr>
          <w:rFonts w:hint="eastAsia" w:ascii="楷体" w:hAnsi="楷体" w:eastAsia="楷体"/>
          <w:b/>
          <w:color w:val="000000"/>
          <w:sz w:val="30"/>
          <w:szCs w:val="30"/>
        </w:rPr>
        <w:t>日</w: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r>
        <w:rPr>
          <w:rFonts w:hint="eastAsia" w:ascii="黑体" w:eastAsia="黑体" w:cs="Times New Roman"/>
          <w:sz w:val="30"/>
          <w:szCs w:val="30"/>
          <w:lang w:val="en-US" w:eastAsia="zh-CN"/>
        </w:rPr>
        <w:t>缺陷汇总表</w:t>
      </w:r>
    </w:p>
    <w:p/>
    <w:tbl>
      <w:tblPr>
        <w:tblStyle w:val="6"/>
        <w:tblW w:w="4347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1861"/>
        <w:gridCol w:w="1530"/>
        <w:gridCol w:w="1400"/>
        <w:gridCol w:w="967"/>
        <w:gridCol w:w="911"/>
        <w:gridCol w:w="1171"/>
        <w:gridCol w:w="1092"/>
        <w:gridCol w:w="182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  <w:tblHeader/>
          <w:jc w:val="center"/>
        </w:trPr>
        <w:tc>
          <w:tcPr>
            <w:tcW w:w="1630" w:type="dxa"/>
            <w:tcBorders>
              <w:top w:val="single" w:color="auto" w:sz="12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935" w:type="dxa"/>
            <w:tcBorders>
              <w:top w:val="single" w:color="auto" w:sz="12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管段编号</w:t>
            </w:r>
          </w:p>
        </w:tc>
        <w:tc>
          <w:tcPr>
            <w:tcW w:w="1590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起始</w:t>
            </w:r>
          </w:p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井号</w:t>
            </w:r>
          </w:p>
        </w:tc>
        <w:tc>
          <w:tcPr>
            <w:tcW w:w="1455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终止</w:t>
            </w:r>
          </w:p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井号</w:t>
            </w:r>
          </w:p>
        </w:tc>
        <w:tc>
          <w:tcPr>
            <w:tcW w:w="1005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检测方向</w:t>
            </w:r>
          </w:p>
        </w:tc>
        <w:tc>
          <w:tcPr>
            <w:tcW w:w="947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管段材质</w:t>
            </w:r>
          </w:p>
        </w:tc>
        <w:tc>
          <w:tcPr>
            <w:tcW w:w="1217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管径</w:t>
            </w:r>
          </w:p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（mm）</w:t>
            </w:r>
          </w:p>
        </w:tc>
        <w:tc>
          <w:tcPr>
            <w:tcW w:w="1135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检测长度（m）</w:t>
            </w:r>
          </w:p>
        </w:tc>
        <w:tc>
          <w:tcPr>
            <w:tcW w:w="1896" w:type="dxa"/>
            <w:tcBorders>
              <w:top w:val="single" w:color="auto" w:sz="12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缺陷名称及等级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6" w:hRule="atLeast"/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Y398-Y400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Y398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Y400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5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Y398-Y395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Y398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Y395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200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7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PL3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3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Y398-Y409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Y398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Y409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5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4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Y561-Y560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Y561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Y560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200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4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PL3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Y569-Y575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Y569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Y575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4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Y569-Y575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Y569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Y575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4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Y697-Y703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Y697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Y703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 w:eastAsia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150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10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CR2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Y694-Y679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Y694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Y679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15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9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Y694-Y6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5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Y694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Y6</w:t>
            </w:r>
            <w:r>
              <w:rPr>
                <w:rFonts w:hint="eastAsia"/>
                <w:szCs w:val="21"/>
                <w:lang w:val="en-US" w:eastAsia="zh-CN"/>
              </w:rPr>
              <w:t>9</w:t>
            </w:r>
            <w:r>
              <w:rPr>
                <w:rFonts w:hint="eastAsia" w:eastAsia="宋体"/>
                <w:szCs w:val="21"/>
                <w:lang w:val="en-US" w:eastAsia="zh-CN"/>
              </w:rPr>
              <w:t>5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200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5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0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Y591-Y592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Y591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Y592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4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4" w:hRule="atLeast"/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1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Y594-Y708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Y594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Y708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ind w:firstLine="210" w:firstLineChars="100"/>
              <w:jc w:val="both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15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2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Y708-Y720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Y708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Y720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13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3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Y728-Y737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Y728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Y737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10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4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Y747-Y754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Y747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Y754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8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5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Y747-Y748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Y747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Y748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3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6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Y773-Y774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Y773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Y774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200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10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7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W867-W868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W867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W868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15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6" w:hRule="atLeast"/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8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W867-W886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W867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W886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20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szCs w:val="21"/>
              </w:rPr>
              <w:t>9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highlight w:val="none"/>
                <w:lang w:val="en-US" w:eastAsia="zh-CN"/>
              </w:rPr>
              <w:t>Y15-Y16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Y15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Y16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200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4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0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Y23-Y30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Y23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Y30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200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5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1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Y94-Y98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Y95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Y98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150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2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BX4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2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Y330-Y331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Y330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Y331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150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3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CK2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3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Y347-Y354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Y347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Y354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300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11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30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  <w:r>
              <w:rPr>
                <w:szCs w:val="21"/>
              </w:rPr>
              <w:t>4</w:t>
            </w:r>
          </w:p>
        </w:tc>
        <w:tc>
          <w:tcPr>
            <w:tcW w:w="1935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Y422-Y423</w:t>
            </w:r>
          </w:p>
        </w:tc>
        <w:tc>
          <w:tcPr>
            <w:tcW w:w="15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Y422</w:t>
            </w:r>
          </w:p>
        </w:tc>
        <w:tc>
          <w:tcPr>
            <w:tcW w:w="14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Y423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NL</w:t>
            </w:r>
          </w:p>
        </w:tc>
        <w:tc>
          <w:tcPr>
            <w:tcW w:w="94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PVC</w:t>
            </w:r>
          </w:p>
        </w:tc>
        <w:tc>
          <w:tcPr>
            <w:tcW w:w="1217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200</w:t>
            </w:r>
          </w:p>
        </w:tc>
        <w:tc>
          <w:tcPr>
            <w:tcW w:w="113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8</w:t>
            </w:r>
          </w:p>
        </w:tc>
        <w:tc>
          <w:tcPr>
            <w:tcW w:w="1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 w:eastAsia="宋体"/>
                <w:szCs w:val="21"/>
                <w:lang w:val="en-US" w:eastAsia="zh-CN"/>
              </w:rPr>
              <w:t>PL3</w:t>
            </w:r>
          </w:p>
        </w:tc>
      </w:tr>
    </w:tbl>
    <w:p/>
    <w:p/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Y398-Y400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5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 xml:space="preserve">管壁材料发生脱落的环向范围大于弧长60º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Y398-Y395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200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7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PL3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破碎—管壁破裂或脱落处所剩碎片的环向覆盖范围不大于弧长60 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Y398-Y409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5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 xml:space="preserve">管壁材料发生脱落的环向范围大于弧长60º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Y561-Y560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200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PL3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破碎—管壁破裂或脱落处所剩碎片的环向覆盖范围不大于弧长60 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Y569-Y575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管道材料裂痕、裂口或破碎处边缘环向覆盖范围大于弧长60º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Y569-Y575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管道材料裂痕、裂口或破碎处边缘环向覆盖范围大于弧长60º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Y697-Y703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150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10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SG2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过水断面损失在15%~25%之间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Y694-Y679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15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 xml:space="preserve">管壁材料发生脱落的环向范围大于弧长60º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Y694-Y6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5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200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5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 xml:space="preserve">管壁材料发生脱落的环向范围大于弧长60º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p/>
    <w:p/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Y591-Y592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100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 xml:space="preserve">管壁材料发生脱落的环向范围大于弧长60º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Y594-Y708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15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 xml:space="preserve">管壁材料发生脱落的环向范围大于弧长60º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Y708-Y720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13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 xml:space="preserve">管壁材料发生脱落的环向范围大于弧长60º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p/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Y728-Y737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 xml:space="preserve">管壁材料发生脱落的环向范围大于弧长60º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Y747-Y754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8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管壁材料发生脱落的环向范围大于弧长60º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Y747-Y748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2"/>
                <w:lang w:val="en-US" w:eastAsia="zh-CN" w:bidi="ar-SA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3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PL3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破碎—管壁破裂或脱落处所剩碎片的环向覆盖范围不大于弧长60 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Y773-Y774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200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管壁材料发生脱落的环向范围大于弧长60º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W867-W868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污水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15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管壁材料发生脱落的环向范围大于弧长60º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W867-W886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污水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20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管壁材料发生脱落的环向范围大于弧长60º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p/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highlight w:val="none"/>
                <w:lang w:val="en-US" w:eastAsia="zh-CN"/>
              </w:rPr>
              <w:t>Y15-Y16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200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 xml:space="preserve">4                                         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管道材料裂痕、裂口或破碎处边缘环向覆盖范围大于弧长60º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Y23-Y30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200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 xml:space="preserve">5                       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PL3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破碎—管壁破裂或脱落处所剩碎片的环向覆盖范围不大于弧长60 º。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Y94-Y98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pStyle w:val="2"/>
              <w:numPr>
                <w:ilvl w:val="2"/>
                <w:numId w:val="0"/>
              </w:numPr>
              <w:bidi w:val="0"/>
              <w:rPr>
                <w:rFonts w:hint="eastAsia"/>
              </w:rPr>
            </w:pPr>
            <w:r>
              <w:drawing>
                <wp:inline distT="0" distB="0" distL="114300" distR="114300">
                  <wp:extent cx="2900045" cy="1652905"/>
                  <wp:effectExtent l="0" t="0" r="14605" b="4445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00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150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/>
                <w:kern w:val="2"/>
                <w:sz w:val="21"/>
                <w:lang w:val="en-US" w:eastAsia="zh-CN" w:bidi="ar-SA"/>
              </w:rPr>
            </w:pPr>
            <w:r>
              <w:rPr>
                <w:rFonts w:hint="eastAsia"/>
                <w:kern w:val="2"/>
                <w:sz w:val="21"/>
                <w:lang w:val="en-US" w:eastAsia="zh-CN" w:bidi="ar-SA"/>
              </w:rPr>
              <w:t>2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BX4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变形大于管道直径的25％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Y330-Y331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150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/>
                <w:kern w:val="2"/>
                <w:sz w:val="21"/>
                <w:lang w:val="en-US" w:eastAsia="zh-CN" w:bidi="ar-SA"/>
              </w:rPr>
            </w:pPr>
            <w:r>
              <w:rPr>
                <w:rFonts w:hint="eastAsia"/>
                <w:kern w:val="2"/>
                <w:sz w:val="21"/>
                <w:lang w:val="en-US" w:eastAsia="zh-CN" w:bidi="ar-SA"/>
              </w:rPr>
              <w:t>3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CK2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中度错口—相接的两个管口偏差为管壁厚度的1/2~1之间。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Y347-Y354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38145" cy="1652905"/>
                  <wp:effectExtent l="0" t="0" r="14605" b="444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165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/>
                <w:kern w:val="2"/>
                <w:sz w:val="21"/>
                <w:lang w:val="en-US" w:eastAsia="zh-CN" w:bidi="ar-SA"/>
              </w:rPr>
            </w:pPr>
            <w:r>
              <w:rPr>
                <w:rFonts w:hint="eastAsia"/>
                <w:kern w:val="2"/>
                <w:sz w:val="21"/>
                <w:lang w:val="en-US" w:eastAsia="zh-CN" w:bidi="ar-SA"/>
              </w:rPr>
              <w:t>11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ind w:firstLine="880" w:firstLineChars="400"/>
              <w:jc w:val="both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管壁材料发生脱落的环向范围大于弧长60º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方向编号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Y422-Y423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44495" cy="1678305"/>
                  <wp:effectExtent l="0" t="0" r="8255" b="1714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4495" cy="1678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200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/>
                <w:kern w:val="2"/>
                <w:sz w:val="21"/>
                <w:lang w:val="en-US" w:eastAsia="zh-CN" w:bidi="ar-SA"/>
              </w:rPr>
            </w:pPr>
            <w:r>
              <w:rPr>
                <w:rFonts w:hint="eastAsia"/>
                <w:kern w:val="2"/>
                <w:sz w:val="21"/>
                <w:lang w:val="en-US" w:eastAsia="zh-CN" w:bidi="ar-SA"/>
              </w:rPr>
              <w:t>8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kern w:val="2"/>
                <w:sz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lang w:val="en-US" w:eastAsia="zh-CN" w:bidi="ar-SA"/>
              </w:rPr>
              <w:t>PL3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spacing w:line="280" w:lineRule="exact"/>
              <w:jc w:val="left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破碎—管壁破裂或脱落处所剩碎片的环向覆盖范围不大于弧长60 º。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br w:type="page"/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A4909E3"/>
    <w:multiLevelType w:val="multilevel"/>
    <w:tmpl w:val="EA4909E3"/>
    <w:lvl w:ilvl="0" w:tentative="0">
      <w:start w:val="1"/>
      <w:numFmt w:val="chineseCountingThousand"/>
      <w:lvlText w:val="%1"/>
      <w:lvlJc w:val="left"/>
      <w:pPr>
        <w:tabs>
          <w:tab w:val="left" w:pos="142"/>
        </w:tabs>
        <w:ind w:left="142" w:firstLine="0"/>
      </w:pPr>
      <w:rPr>
        <w:rFonts w:hint="eastAsia"/>
        <w:sz w:val="28"/>
        <w:szCs w:val="28"/>
      </w:rPr>
    </w:lvl>
    <w:lvl w:ilvl="1" w:tentative="0">
      <w:start w:val="1"/>
      <w:numFmt w:val="decimal"/>
      <w:isLgl/>
      <w:lvlText w:val="%1.%2"/>
      <w:lvlJc w:val="left"/>
      <w:pPr>
        <w:tabs>
          <w:tab w:val="left" w:pos="142"/>
        </w:tabs>
        <w:ind w:left="142" w:firstLine="0"/>
      </w:pPr>
      <w:rPr>
        <w:rFonts w:hint="eastAsia" w:ascii="Times New Roman" w:hAnsi="Times New Roman"/>
        <w:i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position w:val="0"/>
        <w:u w:val="none"/>
        <w:vertAlign w:val="baseline"/>
      </w:rPr>
    </w:lvl>
    <w:lvl w:ilvl="2" w:tentative="0">
      <w:start w:val="1"/>
      <w:numFmt w:val="decimal"/>
      <w:pStyle w:val="2"/>
      <w:isLgl/>
      <w:lvlText w:val="%1.%2.%3"/>
      <w:lvlJc w:val="left"/>
      <w:pPr>
        <w:tabs>
          <w:tab w:val="left" w:pos="284"/>
        </w:tabs>
        <w:ind w:left="1260" w:firstLine="0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tabs>
          <w:tab w:val="left" w:pos="2356"/>
        </w:tabs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tabs>
          <w:tab w:val="left" w:pos="2781"/>
        </w:tabs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tabs>
          <w:tab w:val="left" w:pos="3566"/>
        </w:tabs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3991"/>
        </w:tabs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776"/>
        </w:tabs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5562"/>
        </w:tabs>
        <w:ind w:left="5102" w:hanging="170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8BB5CB0"/>
    <w:rsid w:val="0EFC3D62"/>
    <w:rsid w:val="210E3F7C"/>
    <w:rsid w:val="25604B92"/>
    <w:rsid w:val="2A3F35C9"/>
    <w:rsid w:val="2E751A39"/>
    <w:rsid w:val="38BB5CB0"/>
    <w:rsid w:val="3C027FBE"/>
    <w:rsid w:val="43A56941"/>
    <w:rsid w:val="636C5106"/>
    <w:rsid w:val="66CB0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iPriority="99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keepNext/>
      <w:keepLines/>
      <w:numPr>
        <w:ilvl w:val="2"/>
        <w:numId w:val="1"/>
      </w:numPr>
      <w:spacing w:before="260" w:beforeLines="0" w:beforeAutospacing="0" w:after="260" w:afterLines="0" w:afterAutospacing="0" w:line="413" w:lineRule="auto"/>
      <w:ind w:left="284" w:firstLine="0" w:firstLineChars="0"/>
      <w:outlineLvl w:val="2"/>
    </w:pPr>
    <w:rPr>
      <w:rFonts w:asciiTheme="minorAscii" w:hAnsiTheme="minorAscii"/>
      <w:b/>
      <w:sz w:val="28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420" w:firstLineChars="200"/>
    </w:pPr>
    <w:rPr>
      <w:szCs w:val="24"/>
    </w:rPr>
  </w:style>
  <w:style w:type="paragraph" w:styleId="4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Body Text 2"/>
    <w:basedOn w:val="1"/>
    <w:unhideWhenUsed/>
    <w:qFormat/>
    <w:uiPriority w:val="99"/>
    <w:pPr>
      <w:spacing w:after="120" w:line="480" w:lineRule="auto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1741</Words>
  <Characters>2647</Characters>
  <Lines>0</Lines>
  <Paragraphs>0</Paragraphs>
  <TotalTime>1</TotalTime>
  <ScaleCrop>false</ScaleCrop>
  <LinksUpToDate>false</LinksUpToDate>
  <CharactersWithSpaces>2730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2021-09-09T02:01:00Z</dcterms:created>
  <dc:creator>隔壁村翠花</dc:creator>
  <cp:lastModifiedBy>面包果儿</cp:lastModifiedBy>
  <dcterms:modified xsi:type="dcterms:W3CDTF">2021-11-02T08:10:58Z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4305E956C99444E5A7EC137F007EDF8E</vt:lpwstr>
  </property>
</Properties>
</file>